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70" w:lineRule="exact"/>
        <w:rPr>
          <w:sz w:val="24"/>
          <w:szCs w:val="24"/>
          <w:color w:val="auto"/>
        </w:rPr>
      </w:pPr>
    </w:p>
    <w:p>
      <w:pPr>
        <w:jc w:val="center"/>
        <w:ind w:left="260" w:right="20"/>
        <w:spacing w:after="0" w:line="3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Анонс вебинара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Краудфинансирование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Как привлечь средства для бизнес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проектов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»</w: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22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июня 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10:00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Отделение Банка России по Ростовской области проводит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предпринимателей Южного и Северо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Кавказского федеральных округов межрегиональный открытый вебинар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Краудфинансирование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Как привлечь средства для бизнес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проектов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».</w:t>
      </w:r>
    </w:p>
    <w:p>
      <w:pPr>
        <w:spacing w:after="0" w:line="13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Участники узнают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420" w:hanging="159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об инвестиционных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краудфинансовых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платформах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26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мерах государственной поддержки и нормативных требованиях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 инвестиционным платформам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260" w:firstLine="1"/>
        <w:spacing w:after="0" w:line="314" w:lineRule="auto"/>
        <w:tabs>
          <w:tab w:leader="none" w:pos="42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реальные кейсы о привлечении заемного финансирования субъектами МСП через инвестиционную платформу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9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420" w:hanging="159"/>
        <w:spacing w:after="0"/>
        <w:tabs>
          <w:tab w:leader="none" w:pos="42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 перспективах развития краудфинансирования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Спикеры вебинара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эксперты Банка России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представитель инвестиционной платформы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 также компании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имеющие опыт привлечения финансирования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Продолжительность вебинара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полтора часа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9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Чтобы получить доступ к трансляции и иметь возможность задать вопрос спикерам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необходимо зарегистрироваться на мероприятие по ссылке </w:t>
      </w:r>
      <w:r>
        <w:rPr>
          <w:rFonts w:ascii="Times New Roman" w:cs="Times New Roman" w:eastAsia="Times New Roman" w:hAnsi="Times New Roman"/>
          <w:sz w:val="28"/>
          <w:szCs w:val="28"/>
          <w:u w:val="single" w:color="auto"/>
          <w:color w:val="0000FF"/>
        </w:rPr>
        <w:t>https://forms.yandex.ru/u/60b3de3affd94b01f41cb435/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или сканировав</w:t>
      </w:r>
      <w:r>
        <w:rPr>
          <w:rFonts w:ascii="Times New Roman" w:cs="Times New Roman" w:eastAsia="Times New Roman" w:hAnsi="Times New Roman"/>
          <w:sz w:val="28"/>
          <w:szCs w:val="28"/>
          <w:color w:val="0000FF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QR-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код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96520</wp:posOffset>
            </wp:positionV>
            <wp:extent cx="1628775" cy="1628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620"/>
      </w:cols>
      <w:pgMar w:left="1440" w:top="144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2021-06-17T10:39:38Z</dcterms:created>
  <dcterms:modified xsi:type="dcterms:W3CDTF">2021-06-17T10:39:38Z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