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r w:rsidRPr="00D436ED">
              <w:rPr>
                <w:b/>
                <w:sz w:val="40"/>
              </w:rPr>
              <w:t>П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2.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9. При посещении свиноводческих помещений необходимо использовать чистые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>Требования к осуществлению мероприятий по карантинированию: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585F"/>
    <w:rsid w:val="00060D10"/>
    <w:rsid w:val="000B3E8D"/>
    <w:rsid w:val="001D3B73"/>
    <w:rsid w:val="00201A5B"/>
    <w:rsid w:val="0026075B"/>
    <w:rsid w:val="0038585F"/>
    <w:rsid w:val="00487FD9"/>
    <w:rsid w:val="00551040"/>
    <w:rsid w:val="00553E95"/>
    <w:rsid w:val="005B10BF"/>
    <w:rsid w:val="0062720F"/>
    <w:rsid w:val="006C4F4B"/>
    <w:rsid w:val="00781E44"/>
    <w:rsid w:val="007916CD"/>
    <w:rsid w:val="007C3BF1"/>
    <w:rsid w:val="009A77E5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87430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Grushevka</cp:lastModifiedBy>
  <cp:revision>2</cp:revision>
  <cp:lastPrinted>2017-04-27T06:30:00Z</cp:lastPrinted>
  <dcterms:created xsi:type="dcterms:W3CDTF">2018-07-11T12:35:00Z</dcterms:created>
  <dcterms:modified xsi:type="dcterms:W3CDTF">2018-07-11T12:35:00Z</dcterms:modified>
</cp:coreProperties>
</file>